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 Voice: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Erlich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Erlich,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Bateman,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memorandum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1949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Nuremberg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Tuskegee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syphilis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incomprehensibly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incomprehensible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prejudice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Moynihan,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mosaic.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Navajo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Navajo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Navajo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"globally."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monkeypox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Ajo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Ajo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00:18:26]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 Ehrich: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expect/hope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 Voice: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www.orau.org.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Together-Bias (Completed  10/19/22)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4iLtX19e6LxKNGakmGI6AbPABOAB-eCJEU_kPKpy6hMLLvJCce2ViYiAFdAbp_aHxwDVr0kUomVDA-wFszqLatTBKp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