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Harpenau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exceedingly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emeritus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Tennessee.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Mellencamp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Mellencamp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00:06:17]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00:07: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00:10:40]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exaggerate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impassioned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:00:15:42]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Tyrrell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Kayla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[Canaria 00:17:31]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[Moo 00:17:34]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pedagogy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bumblebee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Cumberland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zintellect.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.orau.gov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ORISE Featurecast-Craig La... (Completed  10/28/19)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21,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"https://www.rev.com/transcript-editor/Edit?token=i9Tx1agtkLrpFJwR2_3FZ8n3H0JElZsxWtTyXDJsGNTv3T_lieqJkHY__z-C72G6fUrfBvsx8Nc9Ny7iWmdhFyPufh0&amp;loadFrom=DocumentHeaderDeepLink"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