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semblance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think that will continue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ORISE Featurecast,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dumpster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better, right?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Featurecast.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Michael.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Glad to have you.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sir.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You're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programs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a little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somewhat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create the outline of that question.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tell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talk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look at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drafted documents-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 You couldn't say-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 ahead.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No, I was just going to say, and you couldn't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couple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didn't know what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swiftly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wherewithal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some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Appalachian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successfully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if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Appalachian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ORNL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ORNL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What do you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Appalachia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It just does.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for the most part.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everybody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6: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Szari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exactly right.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 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Pivot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Leigh Ann.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materials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us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FYI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20,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pandemic."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end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need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very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Leigh Ann,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demand side,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little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therapeutics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cybersecurity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happen.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Yeah,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semblance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toilet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pajamas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disappointed.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differently, Leigh Ann?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No, I agree.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that 37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they're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for that, Leigh Ann.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I'm not sure I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are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therapeutic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morbidity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I'll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for that comment. Jennifer?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think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heartwarming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heartwarming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important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Tyrell: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testament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Michael.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Layman: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Thank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 Penni...: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ORISE Featurecast_Resilien... (Completed  12/02/20)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02,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"https://www.rev.com/transcript-editor/Edit?token=YwUpZ3ONwuI5O8VXrhW1BMjJtTIzbZ3FuoktW5lIIOxwoKkO1diWhN7GgfDiq_dOrpm-rcNjeMqOl1G5ahA-cOUqXxU&amp;loadFrom=DocumentHeaderDeepLink"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