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co-host.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Balajee,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Sylvius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Netherlands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00:01:42]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ultraviolet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melanin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ultraviolet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00:02:12]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Vilhelm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Bohr.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Prizewinner,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Bohr.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00:02:40]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00:02:42]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Prizewinner,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00:02:45]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Netherlands,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ultraviolet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proliferate.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Bethesda,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anomaly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00:05:57]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terrorism.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X-rays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pipettes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dosimeters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00:07:57]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mis-rejoined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00:08:58]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00:09:27]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00:11:05]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renowned-organization.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24/7.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decontamination,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REAC/TS,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00:14:39]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psychosomatic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prodromal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biodosimetry,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00:15:52]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Abelquist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00:18:01]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misfunctions.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Thickening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neurodegeneration,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microgravity.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00:19:40]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radioprotectors,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00:21:16]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paramagnetic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enamel.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Abelquist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00:22:22]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00:22:35]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00:23:59]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00:25:55]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Balajee,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www.ORAU.org.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@ORAU.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@ORAUtogether.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Podcast_Dr Balajee (Completed  08/01/19)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"https://www.rev.com/transcript-editor/shared/hv5KnmW3iXL1lSeHajtCpS-HnhnTNsF1Hd1w5278MpJwERGlbRlD7zZme_k4D4-wqVmz87tAfabyfcjcLnDjMqt2BkI?loadFrom=DocumentHeaderDeepLink"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