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Harpenau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Balajee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Balajee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UDK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UDK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misrejoin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misrejoining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misrejoining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Fukushima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Chernobyl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astronauts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Balajee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marvelous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laboratories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interlaboratory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Balajee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lymphocytes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Balajee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cholesterol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LDL,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HDL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:00:25:40]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intrinsically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exaggerating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lipids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biodosimetry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chromosomal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Balajee.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Iddins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Balajee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Balajee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Featurecast_Chromosome (Completed  01/27/21)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_LfouVlYFXd0IehjHVs7I6l6LIZ49zQkKogKbk2Q82Qn-JS31_j8NYePwxL90RBaz7XQTbMBfD46P1kISQH4CkAcGDQ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