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Harpenau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00:01:51]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00:12:13]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engulfed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showboating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engulfed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tinkering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00:24: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00:24:41]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00:27:18]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Mark Ervin: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Featurecast_Dr Ervin (Completed  11/10/20)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"https://www.rev.com/transcript-editor/Edit?token=kAIqrh5h7jrCxbJEQIzsTbNfxBAGGXfEoODmJNJGtfWFXECWSIqd504glzXoEtWyZ4gTaAo6e5I5oyyzmzvEkjcbXFc&amp;loadFrom=DocumentHeaderDeepLink"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