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lawmakers,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00:02:07]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00:02:13]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Montgomery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Rockville.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"normal-ish"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homeschooling,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WF.H,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2.2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Carderock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five-year-old,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00:12:46],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shenanigans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shenanigans."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00:13:31]-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00:14:07]-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Anacostia,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00:19:33].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mommy?"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00:20:37]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acoustic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00:22:55]."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middle-schoolers,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00:27:21].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overburdened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468,000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overburdened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evacuation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495,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brother-in-law.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shenanigans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00:35:00].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bribes.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meltdowns.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meltdown's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00:36:49].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CVS,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orise.orau.gov,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